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CA8" w:rsidRPr="00CB6CA8" w:rsidRDefault="00CB6CA8" w:rsidP="00CB6C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</w:pPr>
      <w:r w:rsidRPr="00CB6CA8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el-GR"/>
        </w:rPr>
        <w:t>Προϋποθέσεις συμμετοχής</w:t>
      </w:r>
    </w:p>
    <w:p w:rsidR="00CB6CA8" w:rsidRPr="00CB6CA8" w:rsidRDefault="00CB6CA8" w:rsidP="00CB6C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</w:pPr>
      <w:r w:rsidRPr="00CB6CA8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>Οι φοιτητές που συμμετέχουν στο πρόγραμμα θα πρέπει να είναι:</w:t>
      </w:r>
    </w:p>
    <w:p w:rsidR="00CB6CA8" w:rsidRPr="00CB6CA8" w:rsidRDefault="00CB6CA8" w:rsidP="00CB6CA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</w:pPr>
      <w:r w:rsidRPr="00CB6CA8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>Εγγεγραμμένοι σε επίσημο πρόγραμμα σπουδών του Ιδρύματος, το οποίο οδηγεί στην απόκτηση πτυχίου ή άλλου τίτλου σπουδών τριτοβάθμιου επιπέδου, συμπεριλαμβανομένου και του διδακτορικού και το οποίο είναι αναγνωρισμένο σύμφωνα με τις εθνικές διαδικασίες.</w:t>
      </w:r>
    </w:p>
    <w:p w:rsidR="00CB6CA8" w:rsidRPr="00CB6CA8" w:rsidRDefault="00CB6CA8" w:rsidP="00CB6CA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</w:pPr>
      <w:r w:rsidRPr="00CB6CA8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 xml:space="preserve">Υπήκοοι χώρας που συμμετέχει στο πρόγραμμα </w:t>
      </w:r>
      <w:proofErr w:type="spellStart"/>
      <w:r w:rsidRPr="00CB6CA8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>Erasmus</w:t>
      </w:r>
      <w:proofErr w:type="spellEnd"/>
      <w:r w:rsidRPr="00CB6CA8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>+</w:t>
      </w:r>
    </w:p>
    <w:p w:rsidR="00CB6CA8" w:rsidRPr="00CB6CA8" w:rsidRDefault="00CB6CA8" w:rsidP="00CB6CA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</w:pPr>
      <w:r w:rsidRPr="00CB6CA8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 xml:space="preserve">Υπήκοοι άλλων χωρών εγγεγραμμένοι σε κανονικό πρόγραμμα σπουδών του Ιδρύματος σύμφωνα με τη Φ. 151/20049/Β6/20.02.2007 (ΦΕΚ 272Β/01-03-07) Υπουργική Απόφαση και τη λοιπή κείμενη νομοθεσία, εφόσον πληρούν τα κριτήρια </w:t>
      </w:r>
      <w:proofErr w:type="spellStart"/>
      <w:r w:rsidRPr="00CB6CA8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>επιλεξιμότητας</w:t>
      </w:r>
      <w:proofErr w:type="spellEnd"/>
      <w:r w:rsidRPr="00CB6CA8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 xml:space="preserve"> και επιλογής που ορίζονται από το πρόγραμμα και το Ίδρυμα αντίστοιχα.</w:t>
      </w:r>
    </w:p>
    <w:p w:rsidR="00CB6CA8" w:rsidRPr="00CB6CA8" w:rsidRDefault="00CB6CA8" w:rsidP="00CB6C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</w:pPr>
      <w:r w:rsidRPr="00CB6CA8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el-GR"/>
        </w:rPr>
        <w:t>Διαδικασία Συμμετοχής</w:t>
      </w:r>
    </w:p>
    <w:p w:rsidR="00CB6CA8" w:rsidRPr="00CB6CA8" w:rsidRDefault="00CB6CA8" w:rsidP="00CB6CA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</w:pPr>
      <w:r w:rsidRPr="00CB6CA8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>Οι φοιτητές/</w:t>
      </w:r>
      <w:proofErr w:type="spellStart"/>
      <w:r w:rsidRPr="00CB6CA8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>τριες</w:t>
      </w:r>
      <w:proofErr w:type="spellEnd"/>
      <w:r w:rsidRPr="00CB6CA8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 xml:space="preserve"> υποβάλλουν τις αιτήσεις τους σύμφωνα με τις προκηρύξεις των Πανεπιστημιουπόλεων τους.</w:t>
      </w:r>
    </w:p>
    <w:p w:rsidR="00CB6CA8" w:rsidRPr="00CB6CA8" w:rsidRDefault="00CB6CA8" w:rsidP="00CB6CA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</w:pPr>
      <w:r w:rsidRPr="00CB6CA8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>Μετά τη λήξη της προθεσμίας ακολουθεί η αξιολόγηση των αιτήσεων και η έκδοση αποτελεσμάτων.</w:t>
      </w:r>
    </w:p>
    <w:p w:rsidR="00CB6CA8" w:rsidRPr="00CB6CA8" w:rsidRDefault="00CB6CA8" w:rsidP="00CB6CA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</w:pPr>
      <w:r w:rsidRPr="00CB6CA8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>Οι φοιτητές/</w:t>
      </w:r>
      <w:proofErr w:type="spellStart"/>
      <w:r w:rsidRPr="00CB6CA8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>τριες</w:t>
      </w:r>
      <w:proofErr w:type="spellEnd"/>
      <w:r w:rsidRPr="00CB6CA8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 xml:space="preserve"> που θα επιλεγούν θα λάβουν σχετική πληροφόρηση από το Τμήμα </w:t>
      </w:r>
      <w:proofErr w:type="spellStart"/>
      <w:r w:rsidRPr="00CB6CA8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>Erasmus</w:t>
      </w:r>
      <w:proofErr w:type="spellEnd"/>
      <w:r w:rsidRPr="00CB6CA8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 xml:space="preserve"> της Πανεπιστημιούπολης τους, σχετικά με τα δικαιολογητικά, τον τρόπο και την προθεσμία υποβολής τους.</w:t>
      </w:r>
    </w:p>
    <w:p w:rsidR="00CB6CA8" w:rsidRPr="00CB6CA8" w:rsidRDefault="00CB6CA8" w:rsidP="00CB6C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</w:pPr>
      <w:r w:rsidRPr="00CB6CA8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el-GR"/>
        </w:rPr>
        <w:t>Αξιολόγηση και επιλογή</w:t>
      </w:r>
    </w:p>
    <w:p w:rsidR="00CB6CA8" w:rsidRPr="00CB6CA8" w:rsidRDefault="00CB6CA8" w:rsidP="00CB6C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</w:pPr>
      <w:r w:rsidRPr="00CB6CA8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 xml:space="preserve">Μετά τη λήξη της προθεσμίας κατάθεσης των δικαιολογητικών, οι αιτήσεις συγκεντρώνονται ανά Τμήμα και προωθούνται στον Συντονιστή </w:t>
      </w:r>
      <w:proofErr w:type="spellStart"/>
      <w:r w:rsidRPr="00CB6CA8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>Erasmus</w:t>
      </w:r>
      <w:proofErr w:type="spellEnd"/>
      <w:r w:rsidRPr="00CB6CA8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 xml:space="preserve"> κάθε Τμήματος προκειμένου να προχωρήσει η διαδικασία αξιολόγησης και επιλογής. Κατά τη διαδικασία αυτή οι Συντονιστές </w:t>
      </w:r>
      <w:proofErr w:type="spellStart"/>
      <w:r w:rsidRPr="00CB6CA8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>Erasmus</w:t>
      </w:r>
      <w:proofErr w:type="spellEnd"/>
      <w:r w:rsidRPr="00CB6CA8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 xml:space="preserve"> των Τμημάτων λαμβάνουν υπόψη τους τη σειρά προτεραιότητας των Πανεπιστημίων που έχετε δηλώσει στην αίτησή σας σε συνδυασμό με τα ακόλουθα κριτήρια:</w:t>
      </w:r>
    </w:p>
    <w:p w:rsidR="00CB6CA8" w:rsidRPr="00CB6CA8" w:rsidRDefault="00CB6CA8" w:rsidP="00CB6CA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</w:pPr>
      <w:r w:rsidRPr="00CB6CA8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>50% του συνόλου των πιστωτικών μονάδων μέχρι και το τρέχον εξάμηνο φοίτησης</w:t>
      </w:r>
    </w:p>
    <w:p w:rsidR="00CB6CA8" w:rsidRPr="00CB6CA8" w:rsidRDefault="00CB6CA8" w:rsidP="00CB6CA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</w:pPr>
      <w:r w:rsidRPr="00CB6CA8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>Επαρκής γνώση της γλώσσας του προγράμματος που πρόκειται να παρακολουθήσει ο φοιτητής</w:t>
      </w:r>
    </w:p>
    <w:p w:rsidR="00CB6CA8" w:rsidRPr="00CB6CA8" w:rsidRDefault="00CB6CA8" w:rsidP="00CB6CA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</w:pPr>
      <w:r w:rsidRPr="00CB6CA8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>Επίπεδο σπουδών του φοιτητή (προπτυχιακό, μεταπτυχιακό, διδακτορικό)</w:t>
      </w:r>
    </w:p>
    <w:p w:rsidR="00CB6CA8" w:rsidRPr="00CB6CA8" w:rsidRDefault="00CB6CA8" w:rsidP="00CB6CA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</w:pPr>
      <w:r w:rsidRPr="00CB6CA8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>Έτος εισαγωγής. Προτιμώνται οι μη λιμνάζοντες φοιτητές.</w:t>
      </w:r>
    </w:p>
    <w:p w:rsidR="00CB6CA8" w:rsidRPr="00CB6CA8" w:rsidRDefault="00CB6CA8" w:rsidP="00CB6CA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</w:pPr>
      <w:r w:rsidRPr="00CB6CA8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>Ακαδημαϊκή επίδοση (μέσος όρος βαθμολογίας των μαθημάτων που έχει περάσει ο φοιτητής μέχρι τη στιγμή υποβολής της αίτησης), και</w:t>
      </w:r>
    </w:p>
    <w:p w:rsidR="00CB6CA8" w:rsidRPr="00CB6CA8" w:rsidRDefault="00CB6CA8" w:rsidP="00CB6CA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</w:pPr>
      <w:r w:rsidRPr="00CB6CA8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 xml:space="preserve">Βιογραφικό σημείωμα (υποβάλλεται στον ακαδημαϊκό συντονιστή </w:t>
      </w:r>
      <w:proofErr w:type="spellStart"/>
      <w:r w:rsidRPr="00CB6CA8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>Erasmus</w:t>
      </w:r>
      <w:proofErr w:type="spellEnd"/>
      <w:r w:rsidRPr="00CB6CA8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 xml:space="preserve"> του Τμήματος) ή συνέντευξη.</w:t>
      </w:r>
    </w:p>
    <w:p w:rsidR="00CB6CA8" w:rsidRPr="00CB6CA8" w:rsidRDefault="00CB6CA8" w:rsidP="00CB6CA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</w:pPr>
      <w:r w:rsidRPr="00CB6CA8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>Βαθμός και διάρκεια κτήσης πτυχίου/μεταπτυχιακού διπλώματος σε περίπτωση μεταπτυχιακού φοιτητή/υποψήφιου διδάκτορα. Ειδικότερα για την επιλογή υποψηφίων διδακτόρων είναι απαραίτητη η αιτιολογημένη εισήγηση της Τριμελούς Συμβουλευτικής Επιτροπής, στην οποία θα αναγράφεται το θέμα της διατριβής και θα βεβαιώνεται ότι το πρόγραμμα που θα ακολουθήσει ο υποψήφιος στο εξωτερικό θα αποτελέσει μέρος της ερευνητικής του εργασίας για την εκπόνηση της διδακτορικής του διατριβής καθώς και ότι θα προσμετρηθεί στον συνολικό χρόνο των σπουδών του.</w:t>
      </w:r>
    </w:p>
    <w:p w:rsidR="00CB6CA8" w:rsidRPr="00CB6CA8" w:rsidRDefault="00CB6CA8" w:rsidP="00CB6CA8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</w:pPr>
    </w:p>
    <w:p w:rsidR="00CB6CA8" w:rsidRPr="00CB6CA8" w:rsidRDefault="00CB6CA8" w:rsidP="00CB6C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</w:pPr>
      <w:proofErr w:type="spellStart"/>
      <w:r w:rsidRPr="0098336A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el-GR"/>
        </w:rPr>
        <w:lastRenderedPageBreak/>
        <w:t>Μοριοδότηση</w:t>
      </w:r>
      <w:proofErr w:type="spellEnd"/>
      <w:r w:rsidRPr="0098336A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el-GR"/>
        </w:rPr>
        <w:t xml:space="preserve"> αιτήσεων</w:t>
      </w:r>
    </w:p>
    <w:p w:rsidR="00CB6CA8" w:rsidRPr="00CB6CA8" w:rsidRDefault="00CB6CA8" w:rsidP="00CB6CA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</w:pPr>
      <w:proofErr w:type="spellStart"/>
      <w:r w:rsidRPr="00CB6CA8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>Επίπεδο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>_</w:t>
      </w:r>
      <w:r w:rsidRPr="00CB6CA8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>Ξένης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>_</w:t>
      </w:r>
      <w:r w:rsidRPr="00CB6CA8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>Γλώσσας</w:t>
      </w:r>
      <w:proofErr w:type="spellEnd"/>
      <w:r w:rsidRPr="00CB6CA8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>:</w:t>
      </w:r>
      <w:r w:rsidRPr="00CB6CA8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br/>
        <w:t>B1= 0 μόρια  Β2= 10 μόρια,C1= 20 μόρια, C2= 30 μόρια</w:t>
      </w:r>
    </w:p>
    <w:p w:rsidR="00CB6CA8" w:rsidRPr="00CB6CA8" w:rsidRDefault="00CB6CA8" w:rsidP="00CB6CA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</w:pPr>
      <w:r w:rsidRPr="00CB6CA8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>Μέσος όρος βαθμολογίας x10</w:t>
      </w:r>
    </w:p>
    <w:p w:rsidR="00CB6CA8" w:rsidRPr="00CB6CA8" w:rsidRDefault="00CB6CA8" w:rsidP="00CB6CA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</w:pPr>
      <w:r w:rsidRPr="00CB6CA8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>Βιογραφικό ή Συνέντευξη έως 10 μόρια</w:t>
      </w:r>
    </w:p>
    <w:p w:rsidR="00CB6CA8" w:rsidRDefault="00CB6CA8" w:rsidP="00CB6CA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</w:pPr>
      <w:proofErr w:type="spellStart"/>
      <w:r w:rsidRPr="00CB6CA8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>Μοριοδότηση</w:t>
      </w:r>
      <w:proofErr w:type="spellEnd"/>
      <w:r w:rsidRPr="00CB6CA8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 xml:space="preserve"> Φοιτητών/τριών με λιγ</w:t>
      </w:r>
      <w:bookmarkStart w:id="0" w:name="_GoBack"/>
      <w:bookmarkEnd w:id="0"/>
      <w:r w:rsidRPr="00CB6CA8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>ότερες ευκαιρίες 20 μόρια</w:t>
      </w:r>
    </w:p>
    <w:p w:rsidR="0098336A" w:rsidRPr="00CB6CA8" w:rsidRDefault="0098336A" w:rsidP="0098336A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</w:pPr>
    </w:p>
    <w:p w:rsidR="00736851" w:rsidRPr="0098336A" w:rsidRDefault="00A91841" w:rsidP="00CB6CA8">
      <w:pPr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98336A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Απαραίτητα έγγραφα:</w:t>
      </w:r>
    </w:p>
    <w:p w:rsidR="00A91841" w:rsidRPr="00A91841" w:rsidRDefault="00A91841" w:rsidP="00A91841">
      <w:pPr>
        <w:pStyle w:val="Web"/>
        <w:numPr>
          <w:ilvl w:val="0"/>
          <w:numId w:val="5"/>
        </w:numPr>
        <w:jc w:val="both"/>
        <w:rPr>
          <w:rStyle w:val="a3"/>
          <w:b w:val="0"/>
          <w:bCs w:val="0"/>
          <w:color w:val="1F497D" w:themeColor="text2"/>
        </w:rPr>
      </w:pPr>
      <w:proofErr w:type="spellStart"/>
      <w:r w:rsidRPr="00A91841">
        <w:rPr>
          <w:rStyle w:val="a3"/>
          <w:color w:val="1F497D" w:themeColor="text2"/>
        </w:rPr>
        <w:t>Learning</w:t>
      </w:r>
      <w:proofErr w:type="spellEnd"/>
      <w:r w:rsidRPr="00A91841">
        <w:rPr>
          <w:color w:val="1F497D" w:themeColor="text2"/>
        </w:rPr>
        <w:t xml:space="preserve"> </w:t>
      </w:r>
      <w:proofErr w:type="spellStart"/>
      <w:r w:rsidRPr="00A91841">
        <w:rPr>
          <w:rStyle w:val="a3"/>
          <w:color w:val="1F497D" w:themeColor="text2"/>
        </w:rPr>
        <w:t>Agreement</w:t>
      </w:r>
      <w:proofErr w:type="spellEnd"/>
    </w:p>
    <w:p w:rsidR="00A91841" w:rsidRPr="00A91841" w:rsidRDefault="00A91841" w:rsidP="00A91841">
      <w:pPr>
        <w:pStyle w:val="Web"/>
        <w:numPr>
          <w:ilvl w:val="0"/>
          <w:numId w:val="5"/>
        </w:numPr>
        <w:jc w:val="both"/>
        <w:rPr>
          <w:color w:val="1F497D" w:themeColor="text2"/>
        </w:rPr>
      </w:pPr>
      <w:r w:rsidRPr="00A91841">
        <w:rPr>
          <w:rStyle w:val="a3"/>
          <w:color w:val="1F497D" w:themeColor="text2"/>
        </w:rPr>
        <w:t xml:space="preserve">Σύμβαση Επιχορήγησης </w:t>
      </w:r>
      <w:r>
        <w:rPr>
          <w:rStyle w:val="a3"/>
          <w:color w:val="1F497D" w:themeColor="text2"/>
        </w:rPr>
        <w:t xml:space="preserve">                   </w:t>
      </w:r>
      <w:r>
        <w:rPr>
          <w:rStyle w:val="a3"/>
          <w:color w:val="1F497D" w:themeColor="text2"/>
        </w:rPr>
        <w:tab/>
      </w:r>
      <w:r>
        <w:rPr>
          <w:rStyle w:val="a3"/>
          <w:color w:val="1F497D" w:themeColor="text2"/>
        </w:rPr>
        <w:tab/>
      </w:r>
      <w:r>
        <w:rPr>
          <w:rStyle w:val="a3"/>
          <w:color w:val="1F497D" w:themeColor="text2"/>
        </w:rPr>
        <w:tab/>
      </w:r>
      <w:r>
        <w:rPr>
          <w:rStyle w:val="a3"/>
          <w:color w:val="1F497D" w:themeColor="text2"/>
        </w:rPr>
        <w:tab/>
      </w:r>
      <w:r>
        <w:rPr>
          <w:rStyle w:val="a3"/>
          <w:color w:val="1F497D" w:themeColor="text2"/>
        </w:rPr>
        <w:tab/>
        <w:t xml:space="preserve">   </w:t>
      </w:r>
      <w:r w:rsidRPr="00A91841">
        <w:rPr>
          <w:color w:val="1F497D" w:themeColor="text2"/>
        </w:rPr>
        <w:t xml:space="preserve">(εκδίδεται από τα Τμήματα </w:t>
      </w:r>
      <w:proofErr w:type="spellStart"/>
      <w:r w:rsidRPr="00A91841">
        <w:rPr>
          <w:color w:val="1F497D" w:themeColor="text2"/>
        </w:rPr>
        <w:t>Erasmus</w:t>
      </w:r>
      <w:proofErr w:type="spellEnd"/>
      <w:r w:rsidRPr="00A91841">
        <w:rPr>
          <w:color w:val="1F497D" w:themeColor="text2"/>
        </w:rPr>
        <w:t xml:space="preserve"> και σας αποστέλλεται για υπογραφή)</w:t>
      </w:r>
      <w:r w:rsidRPr="00A91841">
        <w:rPr>
          <w:color w:val="1F497D" w:themeColor="text2"/>
        </w:rPr>
        <w:br/>
      </w:r>
      <w:r w:rsidRPr="00A91841">
        <w:rPr>
          <w:color w:val="1F497D" w:themeColor="text2"/>
          <w:u w:val="single"/>
        </w:rPr>
        <w:t>Για την οριστικοποίηση της Σύμβασης</w:t>
      </w:r>
      <w:r w:rsidRPr="00A91841">
        <w:rPr>
          <w:color w:val="1F497D" w:themeColor="text2"/>
        </w:rPr>
        <w:t xml:space="preserve"> και την έγκαιρη καταβολή της α’ δόσης χρηματοδότησης </w:t>
      </w:r>
      <w:r w:rsidRPr="00A91841">
        <w:rPr>
          <w:rStyle w:val="a3"/>
          <w:color w:val="1F497D" w:themeColor="text2"/>
        </w:rPr>
        <w:t>το αργότερο ένα μήνα* πριν την έναρξη της κινητικότητας αποστολή αντιγράφου κράτησης εισιτηρίου</w:t>
      </w:r>
      <w:r w:rsidRPr="00A91841">
        <w:rPr>
          <w:color w:val="1F497D" w:themeColor="text2"/>
        </w:rPr>
        <w:t>.</w:t>
      </w:r>
    </w:p>
    <w:p w:rsidR="00A91841" w:rsidRPr="00A91841" w:rsidRDefault="00A91841" w:rsidP="00A91841">
      <w:pPr>
        <w:pStyle w:val="Web"/>
        <w:numPr>
          <w:ilvl w:val="0"/>
          <w:numId w:val="5"/>
        </w:numPr>
        <w:jc w:val="both"/>
        <w:rPr>
          <w:color w:val="1F497D" w:themeColor="text2"/>
        </w:rPr>
      </w:pPr>
      <w:hyperlink r:id="rId6" w:tgtFrame="_blank" w:history="1">
        <w:r w:rsidRPr="00A91841">
          <w:rPr>
            <w:rStyle w:val="-"/>
            <w:b/>
            <w:bCs/>
            <w:color w:val="1F497D" w:themeColor="text2"/>
          </w:rPr>
          <w:t>Δή</w:t>
        </w:r>
        <w:r w:rsidRPr="00A91841">
          <w:rPr>
            <w:rStyle w:val="-"/>
            <w:b/>
            <w:bCs/>
            <w:color w:val="1F497D" w:themeColor="text2"/>
          </w:rPr>
          <w:t>λ</w:t>
        </w:r>
        <w:r w:rsidRPr="00A91841">
          <w:rPr>
            <w:rStyle w:val="-"/>
            <w:b/>
            <w:bCs/>
            <w:color w:val="1F497D" w:themeColor="text2"/>
          </w:rPr>
          <w:t xml:space="preserve">ωση Ατομικών Στοιχείων </w:t>
        </w:r>
      </w:hyperlink>
    </w:p>
    <w:p w:rsidR="00A91841" w:rsidRPr="00A91841" w:rsidRDefault="00A91841" w:rsidP="00A91841">
      <w:pPr>
        <w:pStyle w:val="Web"/>
        <w:numPr>
          <w:ilvl w:val="0"/>
          <w:numId w:val="5"/>
        </w:numPr>
        <w:jc w:val="both"/>
        <w:rPr>
          <w:color w:val="1F497D" w:themeColor="text2"/>
        </w:rPr>
      </w:pPr>
      <w:r w:rsidRPr="00A91841">
        <w:rPr>
          <w:rStyle w:val="a3"/>
          <w:color w:val="1F497D" w:themeColor="text2"/>
        </w:rPr>
        <w:t>Αποδεικτικό Τραπεζικού Λογαριασμού</w:t>
      </w:r>
    </w:p>
    <w:p w:rsidR="00A91841" w:rsidRPr="00A91841" w:rsidRDefault="00A91841" w:rsidP="00A91841">
      <w:pPr>
        <w:pStyle w:val="Web"/>
        <w:numPr>
          <w:ilvl w:val="0"/>
          <w:numId w:val="5"/>
        </w:numPr>
        <w:jc w:val="both"/>
        <w:rPr>
          <w:color w:val="1F497D" w:themeColor="text2"/>
        </w:rPr>
      </w:pPr>
      <w:r w:rsidRPr="00A91841">
        <w:rPr>
          <w:rStyle w:val="a3"/>
          <w:color w:val="1F497D" w:themeColor="text2"/>
        </w:rPr>
        <w:t>Αντίγραφο Ακαδημαϊκής Ταυτότητας</w:t>
      </w:r>
    </w:p>
    <w:p w:rsidR="00A91841" w:rsidRPr="00A91841" w:rsidRDefault="00A91841" w:rsidP="00A91841">
      <w:pPr>
        <w:pStyle w:val="Web"/>
        <w:numPr>
          <w:ilvl w:val="0"/>
          <w:numId w:val="5"/>
        </w:numPr>
        <w:jc w:val="both"/>
        <w:rPr>
          <w:color w:val="1F497D" w:themeColor="text2"/>
        </w:rPr>
      </w:pPr>
      <w:r w:rsidRPr="00A91841">
        <w:rPr>
          <w:rStyle w:val="a3"/>
          <w:color w:val="1F497D" w:themeColor="text2"/>
        </w:rPr>
        <w:t>Έκδοση Βεβαίωση Απογραφής Ε.Φ.Κ.Α</w:t>
      </w:r>
    </w:p>
    <w:p w:rsidR="00A91841" w:rsidRPr="00A91841" w:rsidRDefault="00A91841" w:rsidP="00A91841">
      <w:pPr>
        <w:pStyle w:val="Web"/>
        <w:numPr>
          <w:ilvl w:val="0"/>
          <w:numId w:val="5"/>
        </w:numPr>
        <w:jc w:val="both"/>
        <w:rPr>
          <w:color w:val="1F497D" w:themeColor="text2"/>
        </w:rPr>
      </w:pPr>
      <w:r w:rsidRPr="00A91841">
        <w:rPr>
          <w:rStyle w:val="a3"/>
          <w:color w:val="1F497D" w:themeColor="text2"/>
        </w:rPr>
        <w:t>Αποδεικτικό ΑΦΜ</w:t>
      </w:r>
    </w:p>
    <w:p w:rsidR="00A91841" w:rsidRPr="00A91841" w:rsidRDefault="00A91841" w:rsidP="00A91841">
      <w:pPr>
        <w:pStyle w:val="Web"/>
        <w:numPr>
          <w:ilvl w:val="0"/>
          <w:numId w:val="5"/>
        </w:numPr>
        <w:jc w:val="both"/>
        <w:rPr>
          <w:color w:val="1F497D" w:themeColor="text2"/>
        </w:rPr>
      </w:pPr>
      <w:r w:rsidRPr="00A91841">
        <w:rPr>
          <w:rStyle w:val="a3"/>
          <w:color w:val="1F497D" w:themeColor="text2"/>
        </w:rPr>
        <w:t xml:space="preserve">ΕΚΑΑ </w:t>
      </w:r>
      <w:r w:rsidRPr="00A91841">
        <w:rPr>
          <w:color w:val="1F497D" w:themeColor="text2"/>
        </w:rPr>
        <w:t>( Ευρωπαϊκή Κάρτα Ασφάλισης Ασθενείας)</w:t>
      </w:r>
    </w:p>
    <w:p w:rsidR="00A91841" w:rsidRPr="00A91841" w:rsidRDefault="00A91841" w:rsidP="00A91841">
      <w:pPr>
        <w:pStyle w:val="Web"/>
        <w:numPr>
          <w:ilvl w:val="0"/>
          <w:numId w:val="5"/>
        </w:numPr>
        <w:jc w:val="both"/>
        <w:rPr>
          <w:color w:val="1F497D" w:themeColor="text2"/>
        </w:rPr>
      </w:pPr>
      <w:r w:rsidRPr="00A91841">
        <w:rPr>
          <w:rStyle w:val="a3"/>
          <w:color w:val="1F497D" w:themeColor="text2"/>
        </w:rPr>
        <w:t>Αποδεικτικό Α.Μ.Κ.Α.</w:t>
      </w:r>
    </w:p>
    <w:p w:rsidR="00A91841" w:rsidRPr="00A91841" w:rsidRDefault="00A91841" w:rsidP="00A91841">
      <w:pPr>
        <w:pStyle w:val="Web"/>
        <w:jc w:val="both"/>
        <w:rPr>
          <w:color w:val="1F497D" w:themeColor="text2"/>
          <w:sz w:val="22"/>
          <w:szCs w:val="22"/>
        </w:rPr>
      </w:pPr>
      <w:r>
        <w:rPr>
          <w:rStyle w:val="a3"/>
          <w:color w:val="1F497D" w:themeColor="text2"/>
          <w:sz w:val="22"/>
          <w:szCs w:val="22"/>
          <w:u w:val="single"/>
        </w:rPr>
        <w:t>*</w:t>
      </w:r>
      <w:r w:rsidRPr="00A91841">
        <w:rPr>
          <w:rStyle w:val="a3"/>
          <w:color w:val="1F497D" w:themeColor="text2"/>
          <w:sz w:val="22"/>
          <w:szCs w:val="22"/>
          <w:u w:val="single"/>
        </w:rPr>
        <w:t>ΠΡΟΣΟΧΗ:</w:t>
      </w:r>
      <w:r w:rsidRPr="00A91841">
        <w:rPr>
          <w:rStyle w:val="a3"/>
          <w:color w:val="1F497D" w:themeColor="text2"/>
          <w:sz w:val="22"/>
          <w:szCs w:val="22"/>
        </w:rPr>
        <w:t xml:space="preserve"> ΤΟ ΣΥΝΟΛΟ ΤΩΝ ΑΠΑΡΑΙΤΗΤΩΝ ΕΓΓΡΑΦΩΝ ΚΑΙ ΔΙΚΑΙΟΛΟΓΗΤΙΚΩΝ ΘΑ ΠΡΕΠΕΙ ΝΑ ΕΧΕΙ ΥΠΟΒΛΗΘΕΙ 2 ΜΗΝΕΣ ΠΡΙΝ ΑΠΟ ΤΗΝ ΕΝΑΡΞΗ ΤΗΣ ΚΙΝΗΤΙΚΟΤΗΤΑΣ ΕΞΑΙΡΕΙΤΑΙ ΤΟ ΑΝΤΙΓΡΑΦΟ ΚΡΑΤΗΣΗΣ ΕΙΣΙΤΗΡΙΟΥ</w:t>
      </w:r>
    </w:p>
    <w:p w:rsidR="00A91841" w:rsidRPr="00CB6CA8" w:rsidRDefault="00A91841" w:rsidP="00CB6CA8">
      <w:pPr>
        <w:jc w:val="both"/>
        <w:rPr>
          <w:color w:val="1F497D" w:themeColor="text2"/>
          <w:sz w:val="24"/>
          <w:szCs w:val="24"/>
        </w:rPr>
      </w:pPr>
    </w:p>
    <w:sectPr w:rsidR="00A91841" w:rsidRPr="00CB6CA8" w:rsidSect="00CB6CA8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36C1C"/>
    <w:multiLevelType w:val="hybridMultilevel"/>
    <w:tmpl w:val="2954EA98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7C5A0AD6">
      <w:numFmt w:val="bullet"/>
      <w:lvlText w:val="–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0DE4656"/>
    <w:multiLevelType w:val="multilevel"/>
    <w:tmpl w:val="3148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13054F"/>
    <w:multiLevelType w:val="multilevel"/>
    <w:tmpl w:val="D5548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B10FC8"/>
    <w:multiLevelType w:val="multilevel"/>
    <w:tmpl w:val="4DA87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646330"/>
    <w:multiLevelType w:val="multilevel"/>
    <w:tmpl w:val="E7F2E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49E"/>
    <w:rsid w:val="0007549E"/>
    <w:rsid w:val="00736851"/>
    <w:rsid w:val="0098336A"/>
    <w:rsid w:val="00A91841"/>
    <w:rsid w:val="00CB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B6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CB6CA8"/>
    <w:rPr>
      <w:b/>
      <w:bCs/>
    </w:rPr>
  </w:style>
  <w:style w:type="character" w:styleId="-">
    <w:name w:val="Hyperlink"/>
    <w:basedOn w:val="a0"/>
    <w:uiPriority w:val="99"/>
    <w:semiHidden/>
    <w:unhideWhenUsed/>
    <w:rsid w:val="00A91841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A9184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B6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CB6CA8"/>
    <w:rPr>
      <w:b/>
      <w:bCs/>
    </w:rPr>
  </w:style>
  <w:style w:type="character" w:styleId="-">
    <w:name w:val="Hyperlink"/>
    <w:basedOn w:val="a0"/>
    <w:uiPriority w:val="99"/>
    <w:semiHidden/>
    <w:unhideWhenUsed/>
    <w:rsid w:val="00A91841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A918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9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hu.gr/wp-content/uploads/2021/04/%CE%94%CE%91%CE%A3-202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569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NIKOLETA FOURNARI</dc:creator>
  <cp:keywords/>
  <dc:description/>
  <cp:lastModifiedBy>NIKOLETA FOURNARI</cp:lastModifiedBy>
  <cp:revision>4</cp:revision>
  <dcterms:created xsi:type="dcterms:W3CDTF">2023-11-22T10:11:00Z</dcterms:created>
  <dcterms:modified xsi:type="dcterms:W3CDTF">2023-11-22T10:28:00Z</dcterms:modified>
</cp:coreProperties>
</file>